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あさひ野運輸株式会社　運行管理規程（抜粋）</w:t>
      </w:r>
    </w:p>
    <w:p>
      <w:r>
        <w:t>2026年4月1日改定　／　管理部門：運行管理部　／　本書は研修用のサンプルであり、実在する企業の規程ではありません。</w:t>
      </w:r>
    </w:p>
    <w:p>
      <w:pPr>
        <w:pStyle w:val="Heading1"/>
      </w:pPr>
      <w:r>
        <w:t>第1章　総則（1ページ）</w:t>
      </w:r>
    </w:p>
    <w:p>
      <w:r>
        <w:t>第1条（目的）　この規程は、当社の事業用自動車の運行の安全を確保し、乗務員および運行管理者が守るべき事項を定めることを目的とする。</w:t>
      </w:r>
    </w:p>
    <w:p>
      <w:r>
        <w:t>第2条（適用範囲）　この規程は、当社に在籍するすべての乗務員、運行管理者、補助者および配車担当者に適用する。傭車先に委託する運行についても、当社が指示する事項の範囲でこれに準ずる。</w:t>
      </w:r>
    </w:p>
    <w:p>
      <w:r>
        <w:t>第3条（用語の定義）　この規程において、始業時刻とは出庫前点呼を開始した時刻をいい、終業時刻とは帰庫後点呼を終了した時刻をいう。拘束時間とは始業時刻から終業時刻までの時間をいい、出庫時刻から帰庫時刻までの時間をもってこれに代えてはならない。</w:t>
      </w:r>
    </w:p>
    <w:p>
      <w:pPr>
        <w:pStyle w:val="Heading1"/>
      </w:pPr>
      <w:r>
        <w:t>第2章　点呼（2ページ）</w:t>
      </w:r>
    </w:p>
    <w:p>
      <w:r>
        <w:t>第4条（業務前点呼）　乗務員は、出庫前に運行管理者の点呼を受けなければならない。点呼では次の各号を確認する。</w:t>
      </w:r>
    </w:p>
    <w:p>
      <w:pPr>
        <w:pStyle w:val="ListBullet"/>
      </w:pPr>
      <w:r>
        <w:t>一　酒気帯びの有無（アルコール検知器による測定を含む）</w:t>
      </w:r>
    </w:p>
    <w:p>
      <w:pPr>
        <w:pStyle w:val="ListBullet"/>
      </w:pPr>
      <w:r>
        <w:t>二　健康状態、疲労、睡眠時間および服薬の有無</w:t>
      </w:r>
    </w:p>
    <w:p>
      <w:pPr>
        <w:pStyle w:val="ListBullet"/>
      </w:pPr>
      <w:r>
        <w:t>三　日常点検の実施結果</w:t>
      </w:r>
    </w:p>
    <w:p>
      <w:pPr>
        <w:pStyle w:val="ListBullet"/>
      </w:pPr>
      <w:r>
        <w:t>四　当日の運行経路、着時間指定および積荷に関する指示</w:t>
      </w:r>
    </w:p>
    <w:p>
      <w:r>
        <w:t>第5条（業務後点呼）　乗務員は、帰庫後ただちに運行管理者の点呼を受け、当日の運行状況、車両および積荷の異常の有無、ヒヤリハットの有無を報告しなければならない。報告を終えた時刻を終業時刻とする。</w:t>
      </w:r>
    </w:p>
    <w:p>
      <w:r>
        <w:t>第6条（中間点呼）　乗務員が業務前および業務後のいずれの点呼も対面で受けられない運行に従事する場合は、運行の途中において電話その他の方法により中間点呼を受けるものとする。該当するかどうかの判断は運行管理者が行う。</w:t>
      </w:r>
    </w:p>
    <w:p>
      <w:r>
        <w:t>第7条（アルコール検知器の使用と記録）　点呼においては、営業所に備え付けたアルコール検知器を使用する。測定結果は運行管理システムに入力するとともに、点呼記録簿に記録する。検知器は毎日始業前に作動確認を行い、その結果を点呼記録簿の欄外に記録する。</w:t>
      </w:r>
    </w:p>
    <w:p>
      <w:r>
        <w:t>第8条（点呼記録簿の保管）　点呼記録簿は営業所ごとに作成し、運行管理者が保管する。保存期間は1年とする。</w:t>
      </w:r>
    </w:p>
    <w:p>
      <w:pPr>
        <w:pStyle w:val="Heading1"/>
      </w:pPr>
      <w:r>
        <w:t>第3章　乗務員の遵守事項（3ページ）</w:t>
      </w:r>
    </w:p>
    <w:p>
      <w:r>
        <w:t>第9条（運行指示の遵守）　乗務員は、配車担当者が発行した運行指示書に従って運行しなければならない。着時間指定の変更、経路の変更その他の指示の変更が必要となった場合は、自らの判断で変更せず、運行管理者に連絡し指示を受ける。</w:t>
      </w:r>
    </w:p>
    <w:p>
      <w:r>
        <w:t>第10条（連続運転と休憩）　乗務員は、連続して運転する時間が長時間に及ばないよう、運行指示書に定める休憩を確実に取得しなければならない。渋滞その他の理由により定められた休憩が取得できない見込みとなった場合は、その時点で運行管理者に連絡する。休憩の可否および運行計画の変更は運行管理者が判断する。</w:t>
      </w:r>
    </w:p>
    <w:p>
      <w:r>
        <w:t>第11条（積載の制限）　乗務員は、車両の最大積載量を超えて積載してはならない。荷主から追加の積載を求められた場合は、その場で応じず、運行管理者に連絡し指示を受ける。積載方法および固縛は、荷崩れが生じないよう出発前に確認する。</w:t>
      </w:r>
    </w:p>
    <w:p>
      <w:r>
        <w:t>第12条（車両の私用禁止）　乗務員は、会社の車両を業務以外の目的で使用してはならない。運行途中の食事、給油、休憩のための立ち寄りはこの限りでないが、運行指示書に記載のない経路を長時間走行してはならない。</w:t>
      </w:r>
    </w:p>
    <w:p>
      <w:pPr>
        <w:pStyle w:val="Heading1"/>
      </w:pPr>
      <w:r>
        <w:t>第4章　運転日報および記録（4ページ）</w:t>
      </w:r>
    </w:p>
    <w:p>
      <w:r>
        <w:t>第13条（運転日報の記載事項）　乗務員は、乗務ごとに運転日報を作成し、次の各号を記載する。</w:t>
      </w:r>
    </w:p>
    <w:p>
      <w:pPr>
        <w:pStyle w:val="ListBullet"/>
      </w:pPr>
      <w:r>
        <w:t>一　日付、車番、乗務員名、天候</w:t>
      </w:r>
    </w:p>
    <w:p>
      <w:pPr>
        <w:pStyle w:val="ListBullet"/>
      </w:pPr>
      <w:r>
        <w:t>二　始業時刻、出庫時刻、帰庫時刻、終業時刻</w:t>
      </w:r>
    </w:p>
    <w:p>
      <w:pPr>
        <w:pStyle w:val="ListBullet"/>
      </w:pPr>
      <w:r>
        <w:t>三　荷積み先および荷積み時刻、荷卸し先および荷卸し時刻</w:t>
      </w:r>
    </w:p>
    <w:p>
      <w:pPr>
        <w:pStyle w:val="ListBullet"/>
      </w:pPr>
      <w:r>
        <w:t>四　休憩の開始時刻および終了時刻</w:t>
      </w:r>
    </w:p>
    <w:p>
      <w:pPr>
        <w:pStyle w:val="ListBullet"/>
      </w:pPr>
      <w:r>
        <w:t>五　走行距離、給油量</w:t>
      </w:r>
    </w:p>
    <w:p>
      <w:pPr>
        <w:pStyle w:val="ListBullet"/>
      </w:pPr>
      <w:r>
        <w:t>六　荷主都合により待機した場合は、その開始時刻、終了時刻および理由</w:t>
      </w:r>
    </w:p>
    <w:p>
      <w:pPr>
        <w:pStyle w:val="ListBullet"/>
      </w:pPr>
      <w:r>
        <w:t>七　ヒヤリハットその他の特記事項</w:t>
      </w:r>
    </w:p>
    <w:p>
      <w:r>
        <w:t>第14条（記録の保存期間）　運転日報は、作成した日から1年間保存する。事故に関係する運転日報は、事案が終了するまでの間、別途保存する。</w:t>
      </w:r>
    </w:p>
    <w:p>
      <w:r>
        <w:t>第15条（フェリー利用時の記載方法）　フェリーを利用した運行においては、乗船時刻を「乗船」、下船時刻を「下船」として時刻欄に記載し、乗船中の時間は休憩欄に記載する。乗船待ちの待機時間は、待機の欄に理由とあわせて記載する。走行距離には航送区間を含めない。</w:t>
      </w:r>
    </w:p>
    <w:p>
      <w:r>
        <w:t>第16条（ドライブレコーダーおよび温度記録の取扱い）　ドライブレコーダーの映像は、運行管理者が安全教育および事故検証の目的に限り確認する。冷蔵車の庫内温度記録は、帰庫後ただちに印字して運転日報に添付し、運行管理者に提出する。</w:t>
      </w:r>
    </w:p>
    <w:p>
      <w:r>
        <w:t>第17条（高速道路通行料および立替経費の精算）　高速道路通行料は原則として社用ETCカードを使用する。やむを得ず乗務員が立て替えた場合は、領収書を運転日報に添付し、帰庫後3営業日以内に精算書を事務担当へ提出する。精算は翌月の給与支給日に行う。</w:t>
      </w:r>
    </w:p>
    <w:p>
      <w:pPr>
        <w:pStyle w:val="Heading1"/>
      </w:pPr>
      <w:r>
        <w:t>第5章　車両の点検（5ページ）</w:t>
      </w:r>
    </w:p>
    <w:p>
      <w:r>
        <w:t>第18条（日常点検）　乗務員は、出庫前に日常点検を実施し、その結果を業務前点呼において運行管理者に報告する。点検の結果、異常を認めたときは出庫せず、ただちに運行管理者に報告し、指示を受ける。</w:t>
      </w:r>
    </w:p>
    <w:p>
      <w:r>
        <w:t>第19条（点検項目）　日常点検においては、次の各号を確認する。</w:t>
      </w:r>
    </w:p>
    <w:p>
      <w:pPr>
        <w:pStyle w:val="ListBullet"/>
      </w:pPr>
      <w:r>
        <w:t>一　タイヤの空気圧、亀裂、損傷および溝の深さ</w:t>
      </w:r>
    </w:p>
    <w:p>
      <w:pPr>
        <w:pStyle w:val="ListBullet"/>
      </w:pPr>
      <w:r>
        <w:t>二　ブレーキの効き具合およびブレーキ液の量</w:t>
      </w:r>
    </w:p>
    <w:p>
      <w:pPr>
        <w:pStyle w:val="ListBullet"/>
      </w:pPr>
      <w:r>
        <w:t>三　灯火装置および方向指示器の点灯状態</w:t>
      </w:r>
    </w:p>
    <w:p>
      <w:pPr>
        <w:pStyle w:val="ListBullet"/>
      </w:pPr>
      <w:r>
        <w:t>四　エンジンオイル、冷却水の量および原動機のかかり具合</w:t>
      </w:r>
    </w:p>
    <w:p>
      <w:r>
        <w:t>第20条（定期点検）　車両の定期点検は整備担当が計画し、点検中の車両は配車の対象から除外する。点検予定は前月末までに配車担当へ通知する。</w:t>
      </w:r>
    </w:p>
    <w:p>
      <w:pPr>
        <w:pStyle w:val="Heading1"/>
      </w:pPr>
      <w:r>
        <w:t>第6章　事故発生時の手続（6ページ）</w:t>
      </w:r>
    </w:p>
    <w:p>
      <w:r>
        <w:t>第21条（連絡順）　事故が発生したときは、負傷者の救護と危険防止の措置を行ったうえで、運行管理者、営業所長、保険担当の順に連絡する。連絡先は運転席に備え付けの緊急連絡カードに記載する。</w:t>
      </w:r>
    </w:p>
    <w:p>
      <w:r>
        <w:t>第22条（現場での措置）　乗務員は、現場において相手方と示談その他の取り決めを行ってはならない。相手方の氏名、連絡先、車両番号および事故状況の記録にとどめる。</w:t>
      </w:r>
    </w:p>
    <w:p>
      <w:r>
        <w:t>第23条（報告書の提出）　事故に関与した乗務員は、事故発生の日から3営業日以内に事故報告書を運行管理者に提出する。運行管理者は内容を確認し、営業所長へ回付する。</w:t>
      </w:r>
    </w:p>
    <w:p>
      <w:r>
        <w:t>第24条（再発防止）　運行管理者は、事故およびヒヤリハットの内容を月次で取りまとめ、安全会議において再発防止策を検討する。決定した対策は、この規程または関係する手順書に反映し、改定日をファイル名に記載する。</w:t>
      </w:r>
    </w:p>
    <w:tbl>
      <w:tblPr>
        <w:tblStyle w:val="TableGrid"/>
        <w:tblW w:type="auto" w:w="0"/>
        <w:tblLook w:firstColumn="1" w:firstRow="1" w:lastColumn="0" w:lastRow="0" w:noHBand="0" w:noVBand="1" w:val="04A0"/>
      </w:tblPr>
      <w:tblGrid>
        <w:gridCol w:w="2880"/>
        <w:gridCol w:w="2880"/>
        <w:gridCol w:w="2880"/>
      </w:tblGrid>
      <w:tr>
        <w:tc>
          <w:tcPr>
            <w:tcW w:type="dxa" w:w="2880"/>
          </w:tcPr>
          <w:p>
            <w:r>
              <w:t>改定日</w:t>
            </w:r>
          </w:p>
        </w:tc>
        <w:tc>
          <w:tcPr>
            <w:tcW w:type="dxa" w:w="2880"/>
          </w:tcPr>
          <w:p>
            <w:r>
              <w:t>改定内容</w:t>
            </w:r>
          </w:p>
        </w:tc>
        <w:tc>
          <w:tcPr>
            <w:tcW w:type="dxa" w:w="2880"/>
          </w:tcPr>
          <w:p>
            <w:r>
              <w:t>改定者</w:t>
            </w:r>
          </w:p>
        </w:tc>
      </w:tr>
      <w:tr>
        <w:tc>
          <w:tcPr>
            <w:tcW w:type="dxa" w:w="2880"/>
          </w:tcPr>
          <w:p>
            <w:r>
              <w:t>2026-04-01</w:t>
            </w:r>
          </w:p>
        </w:tc>
        <w:tc>
          <w:tcPr>
            <w:tcW w:type="dxa" w:w="2880"/>
          </w:tcPr>
          <w:p>
            <w:r>
              <w:t>第3条に始業・終業・拘束時間の定義を追加</w:t>
            </w:r>
          </w:p>
        </w:tc>
        <w:tc>
          <w:tcPr>
            <w:tcW w:type="dxa" w:w="2880"/>
          </w:tcPr>
          <w:p>
            <w:r>
              <w:t>運行管理部</w:t>
            </w:r>
          </w:p>
        </w:tc>
      </w:tr>
      <w:tr>
        <w:tc>
          <w:tcPr>
            <w:tcW w:type="dxa" w:w="2880"/>
          </w:tcPr>
          <w:p>
            <w:r>
              <w:t>2025-10-01</w:t>
            </w:r>
          </w:p>
        </w:tc>
        <w:tc>
          <w:tcPr>
            <w:tcW w:type="dxa" w:w="2880"/>
          </w:tcPr>
          <w:p>
            <w:r>
              <w:t>第16条にドライブレコーダーの取扱いを追加</w:t>
            </w:r>
          </w:p>
        </w:tc>
        <w:tc>
          <w:tcPr>
            <w:tcW w:type="dxa" w:w="2880"/>
          </w:tcPr>
          <w:p>
            <w:r>
              <w:t>運行管理部</w:t>
            </w:r>
          </w:p>
        </w:tc>
      </w:tr>
      <w:tr>
        <w:tc>
          <w:tcPr>
            <w:tcW w:type="dxa" w:w="2880"/>
          </w:tcPr>
          <w:p>
            <w:r>
              <w:t>2025-04-01</w:t>
            </w:r>
          </w:p>
        </w:tc>
        <w:tc>
          <w:tcPr>
            <w:tcW w:type="dxa" w:w="2880"/>
          </w:tcPr>
          <w:p>
            <w:r>
              <w:t>第17条の精算期限を5営業日から3営業日に変更</w:t>
            </w:r>
          </w:p>
        </w:tc>
        <w:tc>
          <w:tcPr>
            <w:tcW w:type="dxa" w:w="2880"/>
          </w:tcPr>
          <w:p>
            <w:r>
              <w:t>運行管理部</w:t>
            </w:r>
          </w:p>
        </w:tc>
      </w:tr>
    </w:tbl>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Yu Gothic" w:hAnsi="Yu Gothi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